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5F7478CE" w:rsidR="007D052E" w:rsidRPr="00B87BC3" w:rsidRDefault="00DA0701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A07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Informal </w:t>
                            </w:r>
                            <w:r w:rsidR="004C74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p</w:t>
                            </w:r>
                            <w:r w:rsidRPr="00DA07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rocedure for resolving a bullying complaint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0638CE24" w14:textId="5F7478CE" w:rsidR="007D052E" w:rsidRPr="00B87BC3" w:rsidRDefault="00DA0701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DA07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Informal </w:t>
                      </w:r>
                      <w:r w:rsidR="004C74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p</w:t>
                      </w:r>
                      <w:r w:rsidRPr="00DA07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rocedure for resolving a bullying complaint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7305216D" w14:textId="77777777" w:rsidR="00DA0701" w:rsidRDefault="00DA0701" w:rsidP="00DA0701">
      <w:pPr>
        <w:spacing w:line="360" w:lineRule="auto"/>
        <w:ind w:left="-709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</w:p>
    <w:p w14:paraId="3ED5304A" w14:textId="7808572C" w:rsidR="00DA0701" w:rsidRPr="00DA0701" w:rsidRDefault="00DA0701" w:rsidP="004C743D">
      <w:pPr>
        <w:spacing w:line="360" w:lineRule="auto"/>
        <w:ind w:left="-709"/>
        <w:jc w:val="both"/>
        <w:rPr>
          <w:rFonts w:cstheme="minorHAnsi"/>
          <w:b/>
          <w:bCs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 xml:space="preserve">Questions a Contact Person may ask: </w:t>
      </w:r>
    </w:p>
    <w:p w14:paraId="13AA6BD0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Who is your complaint referring to?</w:t>
      </w:r>
    </w:p>
    <w:p w14:paraId="0BF6D7BE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What happened and when did this occur?</w:t>
      </w:r>
    </w:p>
    <w:p w14:paraId="17BF4AF3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 xml:space="preserve">Have you made the person in question aware that the behaviour is not welcome, unacceptable and offensive? </w:t>
      </w:r>
    </w:p>
    <w:p w14:paraId="20AB053A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Have you reviewed the company policies?</w:t>
      </w:r>
    </w:p>
    <w:p w14:paraId="5BF43758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What questions do you have about the policy and procedures?</w:t>
      </w:r>
    </w:p>
    <w:p w14:paraId="42FC0A6D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Harassment complaints need to satisfy the definitions – have you reviewed the definitions within the policy? If not, let’s discuss the Grievance Procedure or the Bullying Policy.</w:t>
      </w:r>
    </w:p>
    <w:p w14:paraId="5A28E12C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What resolution option would you like to take?</w:t>
      </w:r>
    </w:p>
    <w:p w14:paraId="6D532C33" w14:textId="77777777" w:rsidR="00DA0701" w:rsidRPr="00DA0701" w:rsidRDefault="00DA0701" w:rsidP="004C743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theme="minorHAnsi"/>
          <w:color w:val="000000" w:themeColor="text1"/>
          <w:kern w:val="24"/>
          <w:sz w:val="20"/>
          <w:szCs w:val="20"/>
          <w:lang w:val="en-IE"/>
        </w:rPr>
      </w:pPr>
      <w:r w:rsidRPr="00DA0701">
        <w:rPr>
          <w:rFonts w:cstheme="minorHAnsi"/>
          <w:color w:val="000000" w:themeColor="text1"/>
          <w:kern w:val="24"/>
          <w:sz w:val="20"/>
          <w:szCs w:val="20"/>
          <w:lang w:val="en-IE"/>
        </w:rPr>
        <w:t>Would you like me to talk you through the different options?</w:t>
      </w:r>
    </w:p>
    <w:p w14:paraId="5EB769AC" w14:textId="482E3BE1" w:rsidR="009E5919" w:rsidRPr="00B87BC3" w:rsidRDefault="009E5919" w:rsidP="00DA0701">
      <w:pPr>
        <w:spacing w:line="360" w:lineRule="auto"/>
        <w:ind w:left="-709"/>
        <w:rPr>
          <w:rFonts w:eastAsia="Times New Roman" w:cstheme="minorHAnsi"/>
          <w:color w:val="000000" w:themeColor="text1"/>
          <w:kern w:val="24"/>
          <w:sz w:val="20"/>
          <w:szCs w:val="20"/>
        </w:rPr>
      </w:pPr>
    </w:p>
    <w:sectPr w:rsidR="009E5919" w:rsidRPr="00B87BC3" w:rsidSect="00C05579">
      <w:headerReference w:type="default" r:id="rId12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A7F7" w14:textId="77777777" w:rsidR="005F1CAB" w:rsidRDefault="005F1CAB" w:rsidP="007D052E">
      <w:r>
        <w:separator/>
      </w:r>
    </w:p>
  </w:endnote>
  <w:endnote w:type="continuationSeparator" w:id="0">
    <w:p w14:paraId="4F6BE1B2" w14:textId="77777777" w:rsidR="005F1CAB" w:rsidRDefault="005F1CAB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83F5" w14:textId="77777777" w:rsidR="005F1CAB" w:rsidRDefault="005F1CAB" w:rsidP="007D052E">
      <w:r>
        <w:separator/>
      </w:r>
    </w:p>
  </w:footnote>
  <w:footnote w:type="continuationSeparator" w:id="0">
    <w:p w14:paraId="53A9D184" w14:textId="77777777" w:rsidR="005F1CAB" w:rsidRDefault="005F1CAB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06EA8CBA" w:rsidR="007D052E" w:rsidRPr="00B87BC3" w:rsidRDefault="00DA0701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DA0701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  <w:t>Informal Procedure for resolving a bullying complaint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" filled="f" stroked="f">
              <v:textbox>
                <w:txbxContent>
                  <w:p w14:paraId="207B4B65" w14:textId="06EA8CBA" w:rsidR="007D052E" w:rsidRPr="00B87BC3" w:rsidRDefault="00DA0701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DA0701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  <w:t>Informal Procedure for resolving a bullying complaint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4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5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7301"/>
    <w:multiLevelType w:val="hybridMultilevel"/>
    <w:tmpl w:val="618E2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6C387D63"/>
    <w:multiLevelType w:val="hybridMultilevel"/>
    <w:tmpl w:val="AA8C4F0A"/>
    <w:lvl w:ilvl="0" w:tplc="CFAA217A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4"/>
  </w:num>
  <w:num w:numId="2" w16cid:durableId="1550999078">
    <w:abstractNumId w:val="0"/>
  </w:num>
  <w:num w:numId="3" w16cid:durableId="1734814621">
    <w:abstractNumId w:val="10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2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3"/>
  </w:num>
  <w:num w:numId="12" w16cid:durableId="1470589008">
    <w:abstractNumId w:val="4"/>
  </w:num>
  <w:num w:numId="13" w16cid:durableId="1720476367">
    <w:abstractNumId w:val="8"/>
  </w:num>
  <w:num w:numId="14" w16cid:durableId="1847667731">
    <w:abstractNumId w:val="11"/>
  </w:num>
  <w:num w:numId="15" w16cid:durableId="1339505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24119"/>
    <w:rsid w:val="004329FD"/>
    <w:rsid w:val="00462C2A"/>
    <w:rsid w:val="004C743D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C4437"/>
    <w:rsid w:val="005D259F"/>
    <w:rsid w:val="005F1CAB"/>
    <w:rsid w:val="005F64CF"/>
    <w:rsid w:val="00634DB7"/>
    <w:rsid w:val="00654442"/>
    <w:rsid w:val="00664A7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C05579"/>
    <w:rsid w:val="00C121C8"/>
    <w:rsid w:val="00C3580F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0701"/>
    <w:rsid w:val="00DA4AC7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  <ds:schemaRef ds:uri="4578801f-0822-4fc8-ab90-e8bb196aef62"/>
    <ds:schemaRef ds:uri="45dae456-88b9-4ffb-bdb7-b103bac82d3a"/>
  </ds:schemaRefs>
</ds:datastoreItem>
</file>

<file path=customXml/itemProps3.xml><?xml version="1.0" encoding="utf-8"?>
<ds:datastoreItem xmlns:ds="http://schemas.openxmlformats.org/officeDocument/2006/customXml" ds:itemID="{11A1C19F-2DEC-4062-9598-D81E6448E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2022-12-13T14:59:00Z</dcterms:created>
  <dcterms:modified xsi:type="dcterms:W3CDTF">2022-12-13T14:59:00Z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