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0638CE24" w14:textId="474CBF95" w:rsidR="007D052E" w:rsidRPr="00B87BC3" w:rsidRDefault="002C6DE3"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F</w:t>
                            </w:r>
                            <w:r w:rsidR="00B56135">
                              <w:rPr>
                                <w:rFonts w:ascii="Arial" w:hAnsi="Arial" w:cs="Arial"/>
                                <w:b/>
                                <w:bCs/>
                                <w:color w:val="FFFFFF" w:themeColor="background1"/>
                                <w:sz w:val="72"/>
                                <w:szCs w:val="72"/>
                                <w:lang w:val="en-US"/>
                              </w:rPr>
                              <w:t>ormal process for investigating bullying complaints</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0638CE24" w14:textId="474CBF95" w:rsidR="007D052E" w:rsidRPr="00B87BC3" w:rsidRDefault="002C6DE3"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F</w:t>
                      </w:r>
                      <w:r w:rsidR="00B56135">
                        <w:rPr>
                          <w:rFonts w:ascii="Arial" w:hAnsi="Arial" w:cs="Arial"/>
                          <w:b/>
                          <w:bCs/>
                          <w:color w:val="FFFFFF" w:themeColor="background1"/>
                          <w:sz w:val="72"/>
                          <w:szCs w:val="72"/>
                          <w:lang w:val="en-US"/>
                        </w:rPr>
                        <w:t>ormal process for investigating bullying complaints</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063A5E3C" w14:textId="77777777" w:rsidR="00646056" w:rsidRDefault="00646056" w:rsidP="00646056">
      <w:pPr>
        <w:spacing w:line="360" w:lineRule="auto"/>
        <w:ind w:left="-709"/>
        <w:rPr>
          <w:rFonts w:cstheme="minorHAnsi"/>
          <w:color w:val="000000" w:themeColor="text1"/>
          <w:kern w:val="24"/>
          <w:sz w:val="20"/>
          <w:szCs w:val="20"/>
          <w:lang w:val="en-IE"/>
        </w:rPr>
      </w:pPr>
    </w:p>
    <w:p w14:paraId="0352D77E" w14:textId="77777777" w:rsidR="002C6DE3" w:rsidRDefault="00646056" w:rsidP="002C6DE3">
      <w:pPr>
        <w:spacing w:line="360" w:lineRule="auto"/>
        <w:ind w:left="-709" w:right="828" w:firstLine="142"/>
        <w:jc w:val="both"/>
        <w:rPr>
          <w:rFonts w:cstheme="minorHAnsi"/>
          <w:color w:val="000000" w:themeColor="text1"/>
          <w:kern w:val="24"/>
          <w:sz w:val="20"/>
          <w:szCs w:val="20"/>
          <w:lang w:val="en-IE"/>
        </w:rPr>
      </w:pPr>
      <w:r w:rsidRPr="00646056">
        <w:rPr>
          <w:rFonts w:cstheme="minorHAnsi"/>
          <w:color w:val="000000" w:themeColor="text1"/>
          <w:kern w:val="24"/>
          <w:sz w:val="20"/>
          <w:szCs w:val="20"/>
          <w:lang w:val="en-IE"/>
        </w:rPr>
        <w:t>To ensure procedural fairness, both the complainant and the alleged perpetrator should be informed:</w:t>
      </w:r>
    </w:p>
    <w:p w14:paraId="64069ADD"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o</w:t>
      </w:r>
      <w:r w:rsidRPr="002C6DE3">
        <w:rPr>
          <w:rFonts w:cstheme="minorHAnsi"/>
          <w:color w:val="000000" w:themeColor="text1"/>
          <w:kern w:val="24"/>
          <w:sz w:val="20"/>
          <w:szCs w:val="20"/>
          <w:lang w:val="en-IE"/>
        </w:rPr>
        <w:t>f w</w:t>
      </w:r>
      <w:r w:rsidR="00646056" w:rsidRPr="002C6DE3">
        <w:rPr>
          <w:rFonts w:cstheme="minorHAnsi"/>
          <w:color w:val="000000" w:themeColor="text1"/>
          <w:kern w:val="24"/>
          <w:sz w:val="20"/>
          <w:szCs w:val="20"/>
          <w:lang w:val="en-IE"/>
        </w:rPr>
        <w:t xml:space="preserve">hat the formal procedure entails and what the relevant </w:t>
      </w:r>
      <w:proofErr w:type="gramStart"/>
      <w:r w:rsidR="00646056" w:rsidRPr="002C6DE3">
        <w:rPr>
          <w:rFonts w:cstheme="minorHAnsi"/>
          <w:color w:val="000000" w:themeColor="text1"/>
          <w:kern w:val="24"/>
          <w:sz w:val="20"/>
          <w:szCs w:val="20"/>
          <w:lang w:val="en-IE"/>
        </w:rPr>
        <w:t>timeframe</w:t>
      </w:r>
      <w:r w:rsidRPr="002C6DE3">
        <w:rPr>
          <w:rFonts w:cstheme="minorHAnsi"/>
          <w:color w:val="000000" w:themeColor="text1"/>
          <w:kern w:val="24"/>
          <w:sz w:val="20"/>
          <w:szCs w:val="20"/>
          <w:lang w:val="en-IE"/>
        </w:rPr>
        <w:t>;</w:t>
      </w:r>
      <w:proofErr w:type="gramEnd"/>
    </w:p>
    <w:p w14:paraId="36FB8293"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sidRPr="002C6DE3">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both parties have the right to be accompanied and/or represented by a work colleague or a trade union </w:t>
      </w:r>
      <w:proofErr w:type="gramStart"/>
      <w:r w:rsidR="00646056" w:rsidRPr="002C6DE3">
        <w:rPr>
          <w:rFonts w:cstheme="minorHAnsi"/>
          <w:color w:val="000000" w:themeColor="text1"/>
          <w:kern w:val="24"/>
          <w:sz w:val="20"/>
          <w:szCs w:val="20"/>
          <w:lang w:val="en-IE"/>
        </w:rPr>
        <w:t>representative;</w:t>
      </w:r>
      <w:proofErr w:type="gramEnd"/>
    </w:p>
    <w:p w14:paraId="00437911"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the complaint should be in writing and that the alleged perpetrator will be provided with their copy, including written statements and any other documentation or evidence, for instance, social media communications, CCTV footage, witness statements, interview notes and records of meetings held with the </w:t>
      </w:r>
      <w:proofErr w:type="gramStart"/>
      <w:r w:rsidR="00646056" w:rsidRPr="002C6DE3">
        <w:rPr>
          <w:rFonts w:cstheme="minorHAnsi"/>
          <w:color w:val="000000" w:themeColor="text1"/>
          <w:kern w:val="24"/>
          <w:sz w:val="20"/>
          <w:szCs w:val="20"/>
          <w:lang w:val="en-IE"/>
        </w:rPr>
        <w:t>witnesses;</w:t>
      </w:r>
      <w:proofErr w:type="gramEnd"/>
    </w:p>
    <w:p w14:paraId="5E684039"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no assumptions will be made regarding the culpability of the accused </w:t>
      </w:r>
      <w:proofErr w:type="gramStart"/>
      <w:r w:rsidR="00646056" w:rsidRPr="002C6DE3">
        <w:rPr>
          <w:rFonts w:cstheme="minorHAnsi"/>
          <w:color w:val="000000" w:themeColor="text1"/>
          <w:kern w:val="24"/>
          <w:sz w:val="20"/>
          <w:szCs w:val="20"/>
          <w:lang w:val="en-IE"/>
        </w:rPr>
        <w:t>employee;</w:t>
      </w:r>
      <w:proofErr w:type="gramEnd"/>
    </w:p>
    <w:p w14:paraId="7275CC37"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both parties will be afforded an opportunity to comment on assertions and responses </w:t>
      </w:r>
      <w:proofErr w:type="gramStart"/>
      <w:r w:rsidR="00646056" w:rsidRPr="002C6DE3">
        <w:rPr>
          <w:rFonts w:cstheme="minorHAnsi"/>
          <w:color w:val="000000" w:themeColor="text1"/>
          <w:kern w:val="24"/>
          <w:sz w:val="20"/>
          <w:szCs w:val="20"/>
          <w:lang w:val="en-IE"/>
        </w:rPr>
        <w:t>made;</w:t>
      </w:r>
      <w:proofErr w:type="gramEnd"/>
    </w:p>
    <w:p w14:paraId="35AEE304"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confidentiality will be maintained throughout an investigation to the greatest extent consistent with the requirements of fairness and that data protection legislation will be adhered </w:t>
      </w:r>
      <w:proofErr w:type="gramStart"/>
      <w:r w:rsidR="00646056" w:rsidRPr="002C6DE3">
        <w:rPr>
          <w:rFonts w:cstheme="minorHAnsi"/>
          <w:color w:val="000000" w:themeColor="text1"/>
          <w:kern w:val="24"/>
          <w:sz w:val="20"/>
          <w:szCs w:val="20"/>
          <w:lang w:val="en-IE"/>
        </w:rPr>
        <w:t>to;</w:t>
      </w:r>
      <w:proofErr w:type="gramEnd"/>
    </w:p>
    <w:p w14:paraId="020DD35C"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a written record will be kept of all </w:t>
      </w:r>
      <w:proofErr w:type="gramStart"/>
      <w:r w:rsidR="00646056" w:rsidRPr="002C6DE3">
        <w:rPr>
          <w:rFonts w:cstheme="minorHAnsi"/>
          <w:color w:val="000000" w:themeColor="text1"/>
          <w:kern w:val="24"/>
          <w:sz w:val="20"/>
          <w:szCs w:val="20"/>
          <w:lang w:val="en-IE"/>
        </w:rPr>
        <w:t>meetings;</w:t>
      </w:r>
      <w:proofErr w:type="gramEnd"/>
    </w:p>
    <w:p w14:paraId="7EE8B8A2"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the investigation, having considered all of the evidence before it and the representations made to it, will produce a written report to both </w:t>
      </w:r>
      <w:proofErr w:type="gramStart"/>
      <w:r w:rsidR="00646056" w:rsidRPr="002C6DE3">
        <w:rPr>
          <w:rFonts w:cstheme="minorHAnsi"/>
          <w:color w:val="000000" w:themeColor="text1"/>
          <w:kern w:val="24"/>
          <w:sz w:val="20"/>
          <w:szCs w:val="20"/>
          <w:lang w:val="en-IE"/>
        </w:rPr>
        <w:t>parties;</w:t>
      </w:r>
      <w:proofErr w:type="gramEnd"/>
    </w:p>
    <w:p w14:paraId="53C73D51"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if the investigation concludes that the accused employee has a case to answer, then the report will recommend whether the organisation’s disciplinary procedure should be </w:t>
      </w:r>
      <w:proofErr w:type="gramStart"/>
      <w:r w:rsidR="00646056" w:rsidRPr="002C6DE3">
        <w:rPr>
          <w:rFonts w:cstheme="minorHAnsi"/>
          <w:color w:val="000000" w:themeColor="text1"/>
          <w:kern w:val="24"/>
          <w:sz w:val="20"/>
          <w:szCs w:val="20"/>
          <w:lang w:val="en-IE"/>
        </w:rPr>
        <w:t>invoked;</w:t>
      </w:r>
      <w:proofErr w:type="gramEnd"/>
    </w:p>
    <w:p w14:paraId="611C8406" w14:textId="6D7638B6"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 xml:space="preserve">hat if the investigation concludes that the accused non-employee has a case to answer, then the report will recommend a relevant sanction, for instance, exclusion of the individual from the premises, suspension or termination of a supply service or other contract, </w:t>
      </w:r>
      <w:proofErr w:type="gramStart"/>
      <w:r w:rsidR="00646056" w:rsidRPr="002C6DE3">
        <w:rPr>
          <w:rFonts w:cstheme="minorHAnsi"/>
          <w:color w:val="000000" w:themeColor="text1"/>
          <w:kern w:val="24"/>
          <w:sz w:val="20"/>
          <w:szCs w:val="20"/>
          <w:lang w:val="en-IE"/>
        </w:rPr>
        <w:t>etc</w:t>
      </w:r>
      <w:r>
        <w:rPr>
          <w:rFonts w:cstheme="minorHAnsi"/>
          <w:color w:val="000000" w:themeColor="text1"/>
          <w:kern w:val="24"/>
          <w:sz w:val="20"/>
          <w:szCs w:val="20"/>
          <w:lang w:val="en-IE"/>
        </w:rPr>
        <w:t>.</w:t>
      </w:r>
      <w:r w:rsidR="00646056" w:rsidRPr="002C6DE3">
        <w:rPr>
          <w:rFonts w:cstheme="minorHAnsi"/>
          <w:color w:val="000000" w:themeColor="text1"/>
          <w:kern w:val="24"/>
          <w:sz w:val="20"/>
          <w:szCs w:val="20"/>
          <w:lang w:val="en-IE"/>
        </w:rPr>
        <w:t>;</w:t>
      </w:r>
      <w:proofErr w:type="gramEnd"/>
    </w:p>
    <w:p w14:paraId="761DF0BA" w14:textId="77777777" w:rsid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hat the report may also recommend other actions such as further training or more effective promotion of the organisation’s policy on harassment; and</w:t>
      </w:r>
    </w:p>
    <w:p w14:paraId="39868F4C" w14:textId="346BD82E" w:rsidR="00646056" w:rsidRPr="002C6DE3" w:rsidRDefault="002C6DE3" w:rsidP="002C6DE3">
      <w:pPr>
        <w:pStyle w:val="ListParagraph"/>
        <w:numPr>
          <w:ilvl w:val="0"/>
          <w:numId w:val="16"/>
        </w:numPr>
        <w:spacing w:line="360" w:lineRule="auto"/>
        <w:ind w:right="828"/>
        <w:jc w:val="both"/>
        <w:rPr>
          <w:rFonts w:cstheme="minorHAnsi"/>
          <w:color w:val="000000" w:themeColor="text1"/>
          <w:kern w:val="24"/>
          <w:sz w:val="20"/>
          <w:szCs w:val="20"/>
          <w:lang w:val="en-IE"/>
        </w:rPr>
      </w:pPr>
      <w:r>
        <w:rPr>
          <w:rFonts w:cstheme="minorHAnsi"/>
          <w:color w:val="000000" w:themeColor="text1"/>
          <w:kern w:val="24"/>
          <w:sz w:val="20"/>
          <w:szCs w:val="20"/>
          <w:lang w:val="en-IE"/>
        </w:rPr>
        <w:t>t</w:t>
      </w:r>
      <w:r w:rsidR="00646056" w:rsidRPr="002C6DE3">
        <w:rPr>
          <w:rFonts w:cstheme="minorHAnsi"/>
          <w:color w:val="000000" w:themeColor="text1"/>
          <w:kern w:val="24"/>
          <w:sz w:val="20"/>
          <w:szCs w:val="20"/>
          <w:lang w:val="en-IE"/>
        </w:rPr>
        <w:t>hat a right of appeal exists for both parties and that any such appeal will be conducted by a person who was not previously involved in dealing with the complaint.</w:t>
      </w:r>
    </w:p>
    <w:p w14:paraId="5EB769AC" w14:textId="482E3BE1" w:rsidR="009E5919" w:rsidRPr="00B87BC3" w:rsidRDefault="009E5919" w:rsidP="00646056">
      <w:pPr>
        <w:spacing w:line="360" w:lineRule="auto"/>
        <w:ind w:left="-709"/>
        <w:rPr>
          <w:rFonts w:eastAsia="Times New Roman" w:cstheme="minorHAnsi"/>
          <w:color w:val="000000" w:themeColor="text1"/>
          <w:kern w:val="24"/>
          <w:sz w:val="20"/>
          <w:szCs w:val="20"/>
        </w:rPr>
      </w:pPr>
    </w:p>
    <w:sectPr w:rsidR="009E5919" w:rsidRPr="00B87BC3" w:rsidSect="00C05579">
      <w:headerReference w:type="default" r:id="rId12"/>
      <w:pgSz w:w="11906" w:h="16838"/>
      <w:pgMar w:top="1440"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94EA" w14:textId="77777777" w:rsidR="00890CC7" w:rsidRDefault="00890CC7" w:rsidP="007D052E">
      <w:r>
        <w:separator/>
      </w:r>
    </w:p>
  </w:endnote>
  <w:endnote w:type="continuationSeparator" w:id="0">
    <w:p w14:paraId="2E16C460" w14:textId="77777777" w:rsidR="00890CC7" w:rsidRDefault="00890CC7"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BDDB" w14:textId="77777777" w:rsidR="00890CC7" w:rsidRDefault="00890CC7" w:rsidP="007D052E">
      <w:r>
        <w:separator/>
      </w:r>
    </w:p>
  </w:footnote>
  <w:footnote w:type="continuationSeparator" w:id="0">
    <w:p w14:paraId="3CBBF3CA" w14:textId="77777777" w:rsidR="00890CC7" w:rsidRDefault="00890CC7"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3C839D01">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6AA4966B" w:rsidR="007D052E" w:rsidRPr="00B87BC3" w:rsidRDefault="002C6DE3"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F</w:t>
                          </w:r>
                          <w:r w:rsidR="00646056" w:rsidRPr="00646056">
                            <w:rPr>
                              <w:rFonts w:ascii="Arial" w:eastAsia="Calibri" w:hAnsi="Arial" w:cs="Arial"/>
                              <w:b/>
                              <w:bCs/>
                              <w:color w:val="FFFFFF" w:themeColor="background1"/>
                              <w:kern w:val="24"/>
                              <w:lang w:val="en-IE"/>
                            </w:rPr>
                            <w:t>ormal process for investigating bullying complaints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6AA4966B" w:rsidR="007D052E" w:rsidRPr="00B87BC3" w:rsidRDefault="002C6DE3"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F</w:t>
                    </w:r>
                    <w:r w:rsidR="00646056" w:rsidRPr="00646056">
                      <w:rPr>
                        <w:rFonts w:ascii="Arial" w:eastAsia="Calibri" w:hAnsi="Arial" w:cs="Arial"/>
                        <w:b/>
                        <w:bCs/>
                        <w:color w:val="FFFFFF" w:themeColor="background1"/>
                        <w:kern w:val="24"/>
                        <w:lang w:val="en-IE"/>
                      </w:rPr>
                      <w:t>ormal process for investigating bullying complaints</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3"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243E42"/>
    <w:multiLevelType w:val="hybridMultilevel"/>
    <w:tmpl w:val="710A15B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7" w15:restartNumberingAfterBreak="0">
    <w:nsid w:val="53867E55"/>
    <w:multiLevelType w:val="hybridMultilevel"/>
    <w:tmpl w:val="962C960E"/>
    <w:lvl w:ilvl="0" w:tplc="D2B4F500">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6ED06F37"/>
    <w:multiLevelType w:val="hybridMultilevel"/>
    <w:tmpl w:val="B72CC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5938927">
    <w:abstractNumId w:val="15"/>
  </w:num>
  <w:num w:numId="2" w16cid:durableId="1550999078">
    <w:abstractNumId w:val="0"/>
  </w:num>
  <w:num w:numId="3" w16cid:durableId="1734814621">
    <w:abstractNumId w:val="11"/>
  </w:num>
  <w:num w:numId="4" w16cid:durableId="1456097590">
    <w:abstractNumId w:val="2"/>
  </w:num>
  <w:num w:numId="5" w16cid:durableId="488206269">
    <w:abstractNumId w:val="3"/>
  </w:num>
  <w:num w:numId="6" w16cid:durableId="1815289069">
    <w:abstractNumId w:val="13"/>
  </w:num>
  <w:num w:numId="7" w16cid:durableId="2009014446">
    <w:abstractNumId w:val="9"/>
  </w:num>
  <w:num w:numId="8" w16cid:durableId="554246227">
    <w:abstractNumId w:val="8"/>
  </w:num>
  <w:num w:numId="9" w16cid:durableId="705300809">
    <w:abstractNumId w:val="6"/>
  </w:num>
  <w:num w:numId="10" w16cid:durableId="397673190">
    <w:abstractNumId w:val="1"/>
  </w:num>
  <w:num w:numId="11" w16cid:durableId="1272519198">
    <w:abstractNumId w:val="14"/>
  </w:num>
  <w:num w:numId="12" w16cid:durableId="1470589008">
    <w:abstractNumId w:val="4"/>
  </w:num>
  <w:num w:numId="13" w16cid:durableId="1720476367">
    <w:abstractNumId w:val="10"/>
  </w:num>
  <w:num w:numId="14" w16cid:durableId="1604648970">
    <w:abstractNumId w:val="7"/>
  </w:num>
  <w:num w:numId="15" w16cid:durableId="1140000607">
    <w:abstractNumId w:val="12"/>
  </w:num>
  <w:num w:numId="16" w16cid:durableId="518856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431A1"/>
    <w:rsid w:val="000713CF"/>
    <w:rsid w:val="000757B0"/>
    <w:rsid w:val="00096297"/>
    <w:rsid w:val="000D0AD2"/>
    <w:rsid w:val="000E4857"/>
    <w:rsid w:val="000F0B6F"/>
    <w:rsid w:val="00106944"/>
    <w:rsid w:val="00113EF0"/>
    <w:rsid w:val="001149F9"/>
    <w:rsid w:val="001325C4"/>
    <w:rsid w:val="001353B3"/>
    <w:rsid w:val="00191E9F"/>
    <w:rsid w:val="001C20C8"/>
    <w:rsid w:val="001D2558"/>
    <w:rsid w:val="002046DF"/>
    <w:rsid w:val="00212818"/>
    <w:rsid w:val="00215DD4"/>
    <w:rsid w:val="00226F39"/>
    <w:rsid w:val="00243478"/>
    <w:rsid w:val="002661C5"/>
    <w:rsid w:val="002740E3"/>
    <w:rsid w:val="002C2590"/>
    <w:rsid w:val="002C6DE3"/>
    <w:rsid w:val="002D7219"/>
    <w:rsid w:val="002D7EBF"/>
    <w:rsid w:val="00314771"/>
    <w:rsid w:val="00333047"/>
    <w:rsid w:val="003346A7"/>
    <w:rsid w:val="00340AF9"/>
    <w:rsid w:val="00340C6A"/>
    <w:rsid w:val="00361FA6"/>
    <w:rsid w:val="003912CC"/>
    <w:rsid w:val="003D0FF1"/>
    <w:rsid w:val="003E1D68"/>
    <w:rsid w:val="003F49ED"/>
    <w:rsid w:val="003F6906"/>
    <w:rsid w:val="00410DD8"/>
    <w:rsid w:val="00424119"/>
    <w:rsid w:val="004329FD"/>
    <w:rsid w:val="00462C2A"/>
    <w:rsid w:val="004D4D19"/>
    <w:rsid w:val="004D5042"/>
    <w:rsid w:val="004E7F73"/>
    <w:rsid w:val="00510AA1"/>
    <w:rsid w:val="00511692"/>
    <w:rsid w:val="00512FAF"/>
    <w:rsid w:val="00533BA1"/>
    <w:rsid w:val="00541BE9"/>
    <w:rsid w:val="00552098"/>
    <w:rsid w:val="00553318"/>
    <w:rsid w:val="00557B07"/>
    <w:rsid w:val="005616E1"/>
    <w:rsid w:val="00562509"/>
    <w:rsid w:val="0056509A"/>
    <w:rsid w:val="005A08A4"/>
    <w:rsid w:val="005C4437"/>
    <w:rsid w:val="005D259F"/>
    <w:rsid w:val="005F64CF"/>
    <w:rsid w:val="00634DB7"/>
    <w:rsid w:val="00646056"/>
    <w:rsid w:val="00654442"/>
    <w:rsid w:val="00664A7E"/>
    <w:rsid w:val="006B30C2"/>
    <w:rsid w:val="006C1BEA"/>
    <w:rsid w:val="006E09B9"/>
    <w:rsid w:val="006F09B1"/>
    <w:rsid w:val="00701502"/>
    <w:rsid w:val="00725560"/>
    <w:rsid w:val="007278B0"/>
    <w:rsid w:val="00733975"/>
    <w:rsid w:val="007529CC"/>
    <w:rsid w:val="00766BBE"/>
    <w:rsid w:val="00776286"/>
    <w:rsid w:val="00787322"/>
    <w:rsid w:val="007D052E"/>
    <w:rsid w:val="007F3B65"/>
    <w:rsid w:val="007F5E97"/>
    <w:rsid w:val="00802715"/>
    <w:rsid w:val="0081235C"/>
    <w:rsid w:val="00822FE0"/>
    <w:rsid w:val="00875309"/>
    <w:rsid w:val="0088078C"/>
    <w:rsid w:val="0088098F"/>
    <w:rsid w:val="0089044D"/>
    <w:rsid w:val="00890CC7"/>
    <w:rsid w:val="008B5452"/>
    <w:rsid w:val="008C7420"/>
    <w:rsid w:val="008E4B84"/>
    <w:rsid w:val="00931D8F"/>
    <w:rsid w:val="00954C07"/>
    <w:rsid w:val="0098123B"/>
    <w:rsid w:val="00983DAE"/>
    <w:rsid w:val="00992370"/>
    <w:rsid w:val="00996C5F"/>
    <w:rsid w:val="009A0480"/>
    <w:rsid w:val="009B01F6"/>
    <w:rsid w:val="009B0509"/>
    <w:rsid w:val="009E5919"/>
    <w:rsid w:val="009F2359"/>
    <w:rsid w:val="00A02EA2"/>
    <w:rsid w:val="00A40BEA"/>
    <w:rsid w:val="00A54E75"/>
    <w:rsid w:val="00A70109"/>
    <w:rsid w:val="00A747EE"/>
    <w:rsid w:val="00A94199"/>
    <w:rsid w:val="00A95EE4"/>
    <w:rsid w:val="00AA6D0E"/>
    <w:rsid w:val="00AB5C07"/>
    <w:rsid w:val="00AC2DCE"/>
    <w:rsid w:val="00AC52FD"/>
    <w:rsid w:val="00AC6F16"/>
    <w:rsid w:val="00AF7B85"/>
    <w:rsid w:val="00B013D5"/>
    <w:rsid w:val="00B06659"/>
    <w:rsid w:val="00B07F0B"/>
    <w:rsid w:val="00B5443E"/>
    <w:rsid w:val="00B56135"/>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814E9"/>
    <w:rsid w:val="00CA4C9A"/>
    <w:rsid w:val="00CC14E3"/>
    <w:rsid w:val="00CF51C2"/>
    <w:rsid w:val="00D21127"/>
    <w:rsid w:val="00D218B5"/>
    <w:rsid w:val="00D302D9"/>
    <w:rsid w:val="00D867CB"/>
    <w:rsid w:val="00D9366C"/>
    <w:rsid w:val="00DA4AC7"/>
    <w:rsid w:val="00E55D18"/>
    <w:rsid w:val="00E600F1"/>
    <w:rsid w:val="00E64A85"/>
    <w:rsid w:val="00E91D6E"/>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C3816"/>
    <w:rsid w:val="00FD6C74"/>
    <w:rsid w:val="00FE2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454BD-E85E-40DF-8A5A-1F0E5ECB72C5}"/>
</file>

<file path=customXml/itemProps2.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 ds:uri="4578801f-0822-4fc8-ab90-e8bb196aef62"/>
    <ds:schemaRef ds:uri="45dae456-88b9-4ffb-bdb7-b103bac82d3a"/>
  </ds:schemaRefs>
</ds:datastoreItem>
</file>

<file path=customXml/itemProps3.xml><?xml version="1.0" encoding="utf-8"?>
<ds:datastoreItem xmlns:ds="http://schemas.openxmlformats.org/officeDocument/2006/customXml" ds:itemID="{07923738-20EC-494D-B8C5-12068009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2</cp:revision>
  <dcterms:created xsi:type="dcterms:W3CDTF">2022-12-13T15:09:00Z</dcterms:created>
  <dcterms:modified xsi:type="dcterms:W3CDTF">2022-12-13T15:09:00Z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